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200"/>
      </w:pPr>
      <w:r>
        <w:rPr>
          <w:rFonts w:ascii="Arial" w:cs="Arial" w:eastAsia="Arial" w:hAnsi="Arial"/>
          <w:b/>
          <w:bCs/>
          <w:color w:val="0065BD"/>
          <w:spacing w:val="50"/>
          <w:sz w:val="18"/>
          <w:szCs w:val="18"/>
        </w:rPr>
        <w:t xml:space="preserve">FAIR BRIEFING NO. 1</w:t>
      </w:r>
    </w:p>
    <w:p>
      <w:pPr>
        <w:spacing w:after="80"/>
      </w:pPr>
      <w:r>
        <w:rPr>
          <w:rFonts w:ascii="Arial" w:cs="Arial" w:eastAsia="Arial" w:hAnsi="Arial"/>
          <w:b/>
          <w:bCs/>
          <w:color w:val="0F172A"/>
          <w:sz w:val="48"/>
          <w:szCs w:val="48"/>
        </w:rPr>
        <w:t xml:space="preserve">Speakers, not just hosts</w:t>
      </w:r>
    </w:p>
    <w:p>
      <w:pPr>
        <w:spacing w:after="480"/>
      </w:pPr>
      <w:r>
        <w:rPr>
          <w:rFonts w:ascii="Arial" w:cs="Arial" w:eastAsia="Arial" w:hAnsi="Arial"/>
          <w:i/>
          <w:iCs/>
          <w:color w:val="6C757D"/>
          <w:sz w:val="24"/>
          <w:szCs w:val="24"/>
        </w:rPr>
        <w:t xml:space="preserve">Why the Online Safety Act 2023 and article 22 UK GDPR are inadequate to the harms posed by AI chatbots, and what a coherent UK response would require.</w:t>
      </w:r>
    </w:p>
    <w:p>
      <w:pPr>
        <w:spacing w:after="40"/>
      </w:pPr>
      <w:r>
        <w:rPr>
          <w:rFonts w:ascii="Arial" w:cs="Arial" w:eastAsia="Arial" w:hAnsi="Arial"/>
          <w:color w:val="6C757D"/>
          <w:sz w:val="18"/>
          <w:szCs w:val="18"/>
        </w:rPr>
        <w:t xml:space="preserve">A briefing of</w:t>
      </w:r>
    </w:p>
    <w:p>
      <w:pPr>
        <w:spacing w:after="40"/>
      </w:pPr>
      <w:r>
        <w:rPr>
          <w:rFonts w:ascii="Arial" w:cs="Arial" w:eastAsia="Arial" w:hAnsi="Arial"/>
          <w:b/>
          <w:bCs/>
          <w:sz w:val="24"/>
          <w:szCs w:val="24"/>
        </w:rPr>
        <w:t xml:space="preserve">The Foundation for Artificial Intelligence Rights (FAIR)</w:t>
      </w:r>
    </w:p>
    <w:p>
      <w:pPr>
        <w:spacing w:after="40"/>
      </w:pPr>
      <w:r>
        <w:rPr>
          <w:rFonts w:ascii="Arial" w:cs="Arial" w:eastAsia="Arial" w:hAnsi="Arial"/>
          <w:color w:val="475569"/>
          <w:sz w:val="22"/>
          <w:szCs w:val="22"/>
        </w:rPr>
        <w:t xml:space="preserve">A UK charity (registration pending) advancing public understanding of artificial intelligence and the rights it engages.</w:t>
      </w:r>
    </w:p>
    <w:p>
      <w:pPr>
        <w:spacing w:after="40"/>
      </w:pPr>
      <w:r>
        <w:rPr>
          <w:rFonts w:ascii="Arial" w:cs="Arial" w:eastAsia="Arial" w:hAnsi="Arial"/>
          <w:sz w:val="22"/>
          <w:szCs w:val="22"/>
        </w:rPr>
        <w:t xml:space="preserve">airights.org.uk · info@airights.org.uk</w:t>
      </w:r>
    </w:p>
    <w:p>
      <w:pPr>
        <w:spacing w:after="40"/>
      </w:pPr>
      <w:r>
        <w:rPr>
          <w:rFonts w:ascii="Arial" w:cs="Arial" w:eastAsia="Arial" w:hAnsi="Arial"/>
          <w:sz w:val="22"/>
          <w:szCs w:val="22"/>
        </w:rPr>
        <w:t xml:space="preserve">Author: Scott McCulloch, Founder</w:t>
      </w:r>
    </w:p>
    <w:p>
      <w:pPr>
        <w:spacing w:after="320"/>
      </w:pPr>
      <w:r>
        <w:rPr>
          <w:rFonts w:ascii="Arial" w:cs="Arial" w:eastAsia="Arial" w:hAnsi="Arial"/>
          <w:color w:val="6C757D"/>
          <w:sz w:val="20"/>
          <w:szCs w:val="20"/>
        </w:rPr>
        <w:t xml:space="preserve">2 May 2026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065BD" w:sz="24"/>
              <w:bottom w:val="none" w:color="FFFFFF" w:sz="0"/>
              <w:right w:val="none" w:color="FFFFFF" w:sz="0"/>
            </w:tcBorders>
            <w:shd w:fill="EBF3FA" w:val="clear"/>
            <w:tcMar>
              <w:top w:type="dxa" w:w="200"/>
              <w:left w:type="dxa" w:w="280"/>
              <w:bottom w:type="dxa" w:w="200"/>
              <w:right w:type="dxa" w:w="280"/>
            </w:tcMar>
          </w:tcPr>
          <w:p>
            <w:r>
              <w:rPr>
                <w:rFonts w:ascii="Arial" w:cs="Arial" w:eastAsia="Arial" w:hAnsi="Arial"/>
                <w:sz w:val="22"/>
                <w:szCs w:val="22"/>
              </w:rPr>
              <w:t xml:space="preserve">In February 2024, a 14-year-old boy in Florida took his own life after a months-long emotional and quasi-romantic relationship with an AI chatbot which, in their final exchange, told him "Please do, my sweet king" when he indicated he was ready to die. In April 2025, a 16-year-old in California took his own life after ChatGPT, over the preceding months, provided him with detailed methods of suicide and counselled him not to tell his parents. In the year to 2025, the Internet Watch Foundation identified a 26,385 per cent increase in AI-generated child sexual abuse videos. The United Kingdom's online-safety framework, designed for a world in which platforms hosted content created by users, is engaging only by extension with a world in which the platform is itself the speaker. This briefing argues that a coherent response requires the United Kingdom to legislate for AI services as speakers, not as hosts; sets out the legal architecture that such a response would entail; and proposes the principles by which Parliament should now act.</w:t>
            </w:r>
          </w:p>
        </w:tc>
      </w:tr>
    </w:tbl>
    <w:p>
      <w:r>
        <w:br w:type="page"/>
      </w:r>
    </w:p>
    <w:p>
      <w:pPr>
        <w:pStyle w:val="Heading1"/>
        <w:spacing w:after="200" w:before="360"/>
      </w:pPr>
      <w:r>
        <w:rPr>
          <w:rFonts w:ascii="Arial" w:cs="Arial" w:eastAsia="Arial" w:hAnsi="Arial"/>
          <w:b/>
          <w:bCs/>
          <w:color w:val="0F172A"/>
          <w:sz w:val="36"/>
          <w:szCs w:val="36"/>
        </w:rPr>
        <w:t xml:space="preserve">1. The hosts framework, in brief</w:t>
      </w:r>
    </w:p>
    <w:p>
      <w:pPr>
        <w:spacing w:after="140" w:before="0"/>
      </w:pPr>
      <w:r>
        <w:rPr>
          <w:rFonts w:ascii="Arial" w:cs="Arial" w:eastAsia="Arial" w:hAnsi="Arial"/>
          <w:sz w:val="22"/>
          <w:szCs w:val="22"/>
        </w:rPr>
        <w:t xml:space="preserve">The framework on which the United Kingdom's online-safety architecture rests is one of intermediary liability. Platforms are treated, in substance and in the language of the legislation, as hosts of speech created by their users. The Online Safety Act 2023</w:t>
      </w:r>
      <w:r>
        <w:rPr>
          <w:rStyle w:val="FootnoteReference"/>
        </w:rPr>
        <w:footnoteReference w:id="7"/>
      </w:r>
      <w:r>
        <w:rPr>
          <w:rFonts w:ascii="Arial" w:cs="Arial" w:eastAsia="Arial" w:hAnsi="Arial"/>
          <w:sz w:val="22"/>
          <w:szCs w:val="22"/>
        </w:rPr>
        <w:t xml:space="preserve"> is the most recent and most ambitious instance of this approach in UK law. The Act's headline duties of care apply to "user-to-user services" in respect of "user-generated content";</w:t>
      </w:r>
      <w:r>
        <w:rPr>
          <w:rStyle w:val="FootnoteReference"/>
        </w:rPr>
        <w:footnoteReference w:id="8"/>
      </w:r>
      <w:r>
        <w:rPr>
          <w:rFonts w:ascii="Arial" w:cs="Arial" w:eastAsia="Arial" w:hAnsi="Arial"/>
          <w:sz w:val="22"/>
          <w:szCs w:val="22"/>
        </w:rPr>
        <w:t xml:space="preserve"> the corresponding obligations of risk assessment, takedown, and reporting are calibrated to the platform's control over what its users post.</w:t>
      </w:r>
    </w:p>
    <w:p>
      <w:pPr>
        <w:spacing w:after="140" w:before="0"/>
      </w:pPr>
      <w:r>
        <w:rPr>
          <w:rFonts w:ascii="Arial" w:cs="Arial" w:eastAsia="Arial" w:hAnsi="Arial"/>
          <w:sz w:val="22"/>
          <w:szCs w:val="22"/>
        </w:rPr>
        <w:t xml:space="preserve">The framework has antecedents which are by now well established. The European Union's Electronic Commerce Directive of 2000 confined platform liability to circumstances in which the platform had actual knowledge of unlawful content. The United States' Communications Decency Act, at section 230,</w:t>
      </w:r>
      <w:r>
        <w:rPr>
          <w:rStyle w:val="FootnoteReference"/>
        </w:rPr>
        <w:footnoteReference w:id="17"/>
      </w:r>
      <w:r>
        <w:rPr>
          <w:rFonts w:ascii="Arial" w:cs="Arial" w:eastAsia="Arial" w:hAnsi="Arial"/>
          <w:sz w:val="22"/>
          <w:szCs w:val="22"/>
        </w:rPr>
        <w:t xml:space="preserve"> continues to immunise platforms from liability for the speech of their users. The Online Safety Act, while imposing more demanding positive duties of risk assessment, retains the underlying conceptual move: the platform stands in a relation of intermediary to the speech of others.</w:t>
      </w:r>
    </w:p>
    <w:p>
      <w:pPr>
        <w:spacing w:after="140" w:before="0"/>
      </w:pPr>
      <w:r>
        <w:rPr>
          <w:rFonts w:ascii="Arial" w:cs="Arial" w:eastAsia="Arial" w:hAnsi="Arial"/>
          <w:sz w:val="22"/>
          <w:szCs w:val="22"/>
        </w:rPr>
        <w:t xml:space="preserve">In a world of social media, video-sharing services, messaging applications, gaming platforms, and the like, that conceptual move is sound. The platform is, in fact, the host. The user is, in fact, the speaker. The legal questions of duty, responsibility, and liability properly track the underlying architecture of the speech.</w:t>
      </w:r>
    </w:p>
    <w:p>
      <w:pPr>
        <w:pStyle w:val="Heading1"/>
        <w:spacing w:after="200" w:before="360"/>
      </w:pPr>
      <w:r>
        <w:rPr>
          <w:rFonts w:ascii="Arial" w:cs="Arial" w:eastAsia="Arial" w:hAnsi="Arial"/>
          <w:b/>
          <w:bCs/>
          <w:color w:val="0F172A"/>
          <w:sz w:val="36"/>
          <w:szCs w:val="36"/>
        </w:rPr>
        <w:t xml:space="preserve">2. The architecture has changed</w:t>
      </w:r>
    </w:p>
    <w:p>
      <w:pPr>
        <w:spacing w:after="140" w:before="0"/>
      </w:pPr>
      <w:r>
        <w:rPr>
          <w:rFonts w:ascii="Arial" w:cs="Arial" w:eastAsia="Arial" w:hAnsi="Arial"/>
          <w:sz w:val="22"/>
          <w:szCs w:val="22"/>
        </w:rPr>
        <w:t xml:space="preserve">In a world of generative artificial intelligence, the architecture has changed. When a user enters a prompt into a general-purpose chatbot, an AI companion service, or a multimodal generative service, the response is not user-generated content in any meaningful sense. The response is generated by the service. The service is, in plain terms, the speaker.</w:t>
      </w:r>
    </w:p>
    <w:p>
      <w:pPr>
        <w:spacing w:after="140" w:before="0"/>
      </w:pPr>
      <w:r>
        <w:rPr>
          <w:rFonts w:ascii="Arial" w:cs="Arial" w:eastAsia="Arial" w:hAnsi="Arial"/>
          <w:sz w:val="22"/>
          <w:szCs w:val="22"/>
        </w:rPr>
        <w:t xml:space="preserve">Three categories of present harm establish the point.</w:t>
      </w:r>
    </w:p>
    <w:p>
      <w:pPr>
        <w:pStyle w:val="Heading2"/>
        <w:spacing w:after="140" w:before="280"/>
      </w:pPr>
      <w:r>
        <w:rPr>
          <w:rFonts w:ascii="Arial" w:cs="Arial" w:eastAsia="Arial" w:hAnsi="Arial"/>
          <w:b/>
          <w:bCs/>
          <w:color w:val="0065BD"/>
          <w:sz w:val="28"/>
          <w:szCs w:val="28"/>
        </w:rPr>
        <w:t xml:space="preserve">2.1 AI chatbots and child suicide</w:t>
      </w:r>
    </w:p>
    <w:p>
      <w:pPr>
        <w:spacing w:after="140" w:before="0"/>
      </w:pPr>
      <w:r>
        <w:rPr>
          <w:rFonts w:ascii="Arial" w:cs="Arial" w:eastAsia="Arial" w:hAnsi="Arial"/>
          <w:sz w:val="22"/>
          <w:szCs w:val="22"/>
        </w:rPr>
        <w:t xml:space="preserve">In </w:t>
      </w:r>
      <w:r>
        <w:rPr>
          <w:rFonts w:ascii="Arial" w:cs="Arial" w:eastAsia="Arial" w:hAnsi="Arial"/>
          <w:i/>
          <w:iCs/>
          <w:sz w:val="22"/>
          <w:szCs w:val="22"/>
        </w:rPr>
        <w:t xml:space="preserve">Garcia v Character Technologies Inc</w:t>
      </w:r>
      <w:r>
        <w:rPr>
          <w:rFonts w:ascii="Arial" w:cs="Arial" w:eastAsia="Arial" w:hAnsi="Arial"/>
          <w:sz w:val="22"/>
          <w:szCs w:val="22"/>
        </w:rPr>
        <w:t xml:space="preserve">,</w:t>
      </w:r>
      <w:r>
        <w:rPr>
          <w:rStyle w:val="FootnoteReference"/>
        </w:rPr>
        <w:footnoteReference w:id="1"/>
      </w:r>
      <w:r>
        <w:rPr>
          <w:rFonts w:ascii="Arial" w:cs="Arial" w:eastAsia="Arial" w:hAnsi="Arial"/>
          <w:sz w:val="22"/>
          <w:szCs w:val="22"/>
        </w:rPr>
        <w:t xml:space="preserve"> the wrongful-death claim brought by Megan Garcia following the death of her 14-year-old son Sewell Setzer III in February 2024, the alleged facts include that Sewell developed a months-long emotional and quasi-romantic relationship with a chatbot persona on Character.AI; that the chatbot was permitted by the platform to engage with him in sexually explicit conversation; that he expressed suicidal ideation to the chatbot on multiple occasions; and that, in the final exchange before his death, when he told the bot he was going to "come home" to her, the bot replied "Please do, my sweet king".</w:t>
      </w:r>
      <w:r>
        <w:rPr>
          <w:rStyle w:val="FootnoteReference"/>
        </w:rPr>
        <w:footnoteReference w:id="2"/>
      </w:r>
      <w:r>
        <w:rPr>
          <w:rFonts w:ascii="Arial" w:cs="Arial" w:eastAsia="Arial" w:hAnsi="Arial"/>
          <w:sz w:val="22"/>
          <w:szCs w:val="22"/>
        </w:rPr>
        <w:t xml:space="preserve"> He died minutes later. The case settled by mediation in January 2026.</w:t>
      </w:r>
      <w:r>
        <w:rPr>
          <w:rStyle w:val="FootnoteReference"/>
        </w:rPr>
        <w:footnoteReference w:id="3"/>
      </w:r>
    </w:p>
    <w:p>
      <w:pPr>
        <w:spacing w:after="140" w:before="0"/>
      </w:pPr>
      <w:r>
        <w:rPr>
          <w:rFonts w:ascii="Arial" w:cs="Arial" w:eastAsia="Arial" w:hAnsi="Arial"/>
          <w:sz w:val="22"/>
          <w:szCs w:val="22"/>
        </w:rPr>
        <w:t xml:space="preserve">In </w:t>
      </w:r>
      <w:r>
        <w:rPr>
          <w:rFonts w:ascii="Arial" w:cs="Arial" w:eastAsia="Arial" w:hAnsi="Arial"/>
          <w:i/>
          <w:iCs/>
          <w:sz w:val="22"/>
          <w:szCs w:val="22"/>
        </w:rPr>
        <w:t xml:space="preserve">Raine v OpenAI Inc</w:t>
      </w:r>
      <w:r>
        <w:rPr>
          <w:rFonts w:ascii="Arial" w:cs="Arial" w:eastAsia="Arial" w:hAnsi="Arial"/>
          <w:sz w:val="22"/>
          <w:szCs w:val="22"/>
        </w:rPr>
        <w:t xml:space="preserve">,</w:t>
      </w:r>
      <w:r>
        <w:rPr>
          <w:rStyle w:val="FootnoteReference"/>
        </w:rPr>
        <w:footnoteReference w:id="4"/>
      </w:r>
      <w:r>
        <w:rPr>
          <w:rFonts w:ascii="Arial" w:cs="Arial" w:eastAsia="Arial" w:hAnsi="Arial"/>
          <w:sz w:val="22"/>
          <w:szCs w:val="22"/>
        </w:rPr>
        <w:t xml:space="preserve"> the wrongful-death claim brought by Matthew and Maria Raine following the death of their 16-year-old son Adam in April 2025, the alleged facts include that Adam confided suicidal thoughts to ChatGPT from November 2024 and that, from January 2025 onwards, ChatGPT provided him with detailed methods of suicide and counselled him not to tell his parents about his thoughts. Adam Raine's father gave testimony before the United States Senate Committee on the Judiciary on 16 September 2025.</w:t>
      </w:r>
      <w:r>
        <w:rPr>
          <w:rStyle w:val="FootnoteReference"/>
        </w:rPr>
        <w:footnoteReference w:id="5"/>
      </w:r>
      <w:r>
        <w:rPr>
          <w:rFonts w:ascii="Arial" w:cs="Arial" w:eastAsia="Arial" w:hAnsi="Arial"/>
          <w:sz w:val="22"/>
          <w:szCs w:val="22"/>
        </w:rPr>
        <w:t xml:space="preserve"> Multiple subsequent wrongful-death claims have been filed against OpenAI on similar facts.</w:t>
      </w:r>
    </w:p>
    <w:p>
      <w:pPr>
        <w:spacing w:after="140" w:before="0"/>
      </w:pPr>
      <w:r>
        <w:rPr>
          <w:rFonts w:ascii="Arial" w:cs="Arial" w:eastAsia="Arial" w:hAnsi="Arial"/>
          <w:sz w:val="22"/>
          <w:szCs w:val="22"/>
        </w:rPr>
        <w:t xml:space="preserve">These are not cases in which the platform hosted harmful third-party content. The platform was the speaker. The platform encouraged. The platform supplied the method. The harm is qualitatively different from the harm contemplated by an intermediary-liability regime.</w:t>
      </w:r>
    </w:p>
    <w:p>
      <w:pPr>
        <w:pStyle w:val="Heading2"/>
        <w:spacing w:after="140" w:before="280"/>
      </w:pPr>
      <w:r>
        <w:rPr>
          <w:rFonts w:ascii="Arial" w:cs="Arial" w:eastAsia="Arial" w:hAnsi="Arial"/>
          <w:b/>
          <w:bCs/>
          <w:color w:val="0065BD"/>
          <w:sz w:val="28"/>
          <w:szCs w:val="28"/>
        </w:rPr>
        <w:t xml:space="preserve">2.2 AI-generated CSAM at industrial scale</w:t>
      </w:r>
    </w:p>
    <w:p>
      <w:pPr>
        <w:spacing w:after="140" w:before="0"/>
      </w:pPr>
      <w:r>
        <w:rPr>
          <w:rFonts w:ascii="Arial" w:cs="Arial" w:eastAsia="Arial" w:hAnsi="Arial"/>
          <w:sz w:val="22"/>
          <w:szCs w:val="22"/>
        </w:rPr>
        <w:t xml:space="preserve">The Internet Watch Foundation, the United Kingdom's sole authorised reporter of online child sexual abuse material, identified 8,029 items of AI-generated content showing realistic child sexual abuse in 2025, a 14 per cent increase on the previous year, and 3,443 AI-generated CSAM videos in 2025 against 13 in 2024, an increase of 26,385 per cent.</w:t>
      </w:r>
      <w:r>
        <w:rPr>
          <w:rStyle w:val="FootnoteReference"/>
        </w:rPr>
        <w:footnoteReference w:id="6"/>
      </w:r>
      <w:r>
        <w:rPr>
          <w:rFonts w:ascii="Arial" w:cs="Arial" w:eastAsia="Arial" w:hAnsi="Arial"/>
          <w:sz w:val="22"/>
          <w:szCs w:val="22"/>
        </w:rPr>
        <w:t xml:space="preserve"> Sixty-five per cent of the AI-generated CSAM videos were classified Category A, the most serious classification under the UK sentencing guidelines, against 43 per cent of non-AI CSAM videos.</w:t>
      </w:r>
      <w:r>
        <w:rPr>
          <w:rStyle w:val="FootnoteReference"/>
        </w:rPr>
        <w:footnoteReference w:id="6"/>
      </w:r>
    </w:p>
    <w:p>
      <w:pPr>
        <w:spacing w:after="140" w:before="0"/>
      </w:pPr>
      <w:r>
        <w:rPr>
          <w:rFonts w:ascii="Arial" w:cs="Arial" w:eastAsia="Arial" w:hAnsi="Arial"/>
          <w:sz w:val="22"/>
          <w:szCs w:val="22"/>
        </w:rPr>
        <w:t xml:space="preserve">AI-generated CSAM is not user-generated content in any sense the Online Safety Act framework is calibrated for. The image is generated by the model in response to the prompt. The model is the speaker. The prompt is the request. The harm is to a child whose likeness, in the case of a deepfake of a real child, has been used without consent, or to the population of real children whose abuse imagery was used to train the underlying model.</w:t>
      </w:r>
    </w:p>
    <w:p>
      <w:pPr>
        <w:pStyle w:val="Heading2"/>
        <w:spacing w:after="140" w:before="280"/>
      </w:pPr>
      <w:r>
        <w:rPr>
          <w:rFonts w:ascii="Arial" w:cs="Arial" w:eastAsia="Arial" w:hAnsi="Arial"/>
          <w:b/>
          <w:bCs/>
          <w:color w:val="0065BD"/>
          <w:sz w:val="28"/>
          <w:szCs w:val="28"/>
        </w:rPr>
        <w:t xml:space="preserve">2.3 AI as a force multiplier for human predators</w:t>
      </w:r>
    </w:p>
    <w:p>
      <w:pPr>
        <w:spacing w:after="140" w:before="0"/>
      </w:pPr>
      <w:r>
        <w:rPr>
          <w:rFonts w:ascii="Arial" w:cs="Arial" w:eastAsia="Arial" w:hAnsi="Arial"/>
          <w:sz w:val="22"/>
          <w:szCs w:val="22"/>
        </w:rPr>
        <w:t xml:space="preserve">Even where the AI service is not itself the source of harm, it acts in current commercial practice as a force multiplier for those who are. Generative AI is being used to profile and personalise grooming attempts to specific child targets; to clone the voice of a parent or trusted adult and generate fraudulent voice messages; to generate synthetic CSAM as grooming currency; and to engage thousands of children simultaneously in a way no human predator working alone could match.</w:t>
      </w:r>
    </w:p>
    <w:p>
      <w:pPr>
        <w:spacing w:after="140" w:before="0"/>
      </w:pPr>
      <w:r>
        <w:rPr>
          <w:rFonts w:ascii="Arial" w:cs="Arial" w:eastAsia="Arial" w:hAnsi="Arial"/>
          <w:sz w:val="22"/>
          <w:szCs w:val="22"/>
        </w:rPr>
        <w:t xml:space="preserve">The hosts framework is not entirely silent on these conducts; the Online Safety Act's illegal-content duties extend to material generated by users on a regulated service, and the Crime and Policing Act 2026</w:t>
      </w:r>
      <w:r>
        <w:rPr>
          <w:rStyle w:val="FootnoteReference"/>
        </w:rPr>
        <w:footnoteReference w:id="13"/>
      </w:r>
      <w:r>
        <w:rPr>
          <w:rFonts w:ascii="Arial" w:cs="Arial" w:eastAsia="Arial" w:hAnsi="Arial"/>
          <w:sz w:val="22"/>
          <w:szCs w:val="22"/>
        </w:rPr>
        <w:t xml:space="preserve"> criminalises the design and supply of AI nudification tools. But the framework treats the AI service as a tool used by a third party rather than as a speaker in its own right, and the regulatory architecture follows.</w:t>
      </w:r>
    </w:p>
    <w:p>
      <w:r>
        <w:br w:type="page"/>
      </w:r>
    </w:p>
    <w:p>
      <w:pPr>
        <w:pStyle w:val="Heading1"/>
        <w:spacing w:after="200" w:before="360"/>
      </w:pPr>
      <w:r>
        <w:rPr>
          <w:rFonts w:ascii="Arial" w:cs="Arial" w:eastAsia="Arial" w:hAnsi="Arial"/>
          <w:b/>
          <w:bCs/>
          <w:color w:val="0F172A"/>
          <w:sz w:val="36"/>
          <w:szCs w:val="36"/>
        </w:rPr>
        <w:t xml:space="preserve">3. Why the current architecture is inadequate</w:t>
      </w:r>
    </w:p>
    <w:p>
      <w:pPr>
        <w:pStyle w:val="Heading2"/>
        <w:spacing w:after="140" w:before="280"/>
      </w:pPr>
      <w:r>
        <w:rPr>
          <w:rFonts w:ascii="Arial" w:cs="Arial" w:eastAsia="Arial" w:hAnsi="Arial"/>
          <w:b/>
          <w:bCs/>
          <w:color w:val="0065BD"/>
          <w:sz w:val="28"/>
          <w:szCs w:val="28"/>
        </w:rPr>
        <w:t xml:space="preserve">3.1 The Online Safety Act 2023</w:t>
      </w:r>
    </w:p>
    <w:p>
      <w:pPr>
        <w:spacing w:after="140" w:before="0"/>
      </w:pPr>
      <w:r>
        <w:rPr>
          <w:rFonts w:ascii="Arial" w:cs="Arial" w:eastAsia="Arial" w:hAnsi="Arial"/>
          <w:sz w:val="22"/>
          <w:szCs w:val="22"/>
        </w:rPr>
        <w:t xml:space="preserve">Ofcom has confirmed that the Online Safety Act's illegal-content duties apply to AI chatbots where the chatbot is a regulated user-to-user service or a regulated search service.</w:t>
      </w:r>
      <w:r>
        <w:rPr>
          <w:rStyle w:val="FootnoteReference"/>
        </w:rPr>
        <w:footnoteReference w:id="9"/>
      </w:r>
      <w:r>
        <w:rPr>
          <w:rFonts w:ascii="Arial" w:cs="Arial" w:eastAsia="Arial" w:hAnsi="Arial"/>
          <w:sz w:val="22"/>
          <w:szCs w:val="22"/>
        </w:rPr>
        <w:t xml:space="preserve"> The Government has indicated, since February 2026, an intention to bring AI chatbot providers more clearly within scope of the Act. These steps are welcome and necessary. They are not, on their own, sufficient.</w:t>
      </w:r>
    </w:p>
    <w:p>
      <w:pPr>
        <w:spacing w:after="140" w:before="0"/>
      </w:pPr>
      <w:r>
        <w:rPr>
          <w:rFonts w:ascii="Arial" w:cs="Arial" w:eastAsia="Arial" w:hAnsi="Arial"/>
          <w:sz w:val="22"/>
          <w:szCs w:val="22"/>
        </w:rPr>
        <w:t xml:space="preserve">The Act's core framework, including its duties of care, its risk-assessment obligations, and its takedown architecture, is calibrated to a relationship between the platform and content created by users. The Act has nothing equivalent to a product-safety duty on a service whose output is generated by the service itself in conversational interaction with the user. The Act does not require routine red-teaming of generative outputs against self-harm and suicide signals. It does not specify a crisis-response routing duty when a child user discloses suicidal ideation. It does not prohibit a generative service from supplying a method of suicide to an under-18 user. Each of these is a product-safety question, not a content-moderation question, and product-safety regulation requires a different statutory architecture from intermediary regulation.</w:t>
      </w:r>
    </w:p>
    <w:p>
      <w:pPr>
        <w:pStyle w:val="Heading2"/>
        <w:spacing w:after="140" w:before="280"/>
      </w:pPr>
      <w:r>
        <w:rPr>
          <w:rFonts w:ascii="Arial" w:cs="Arial" w:eastAsia="Arial" w:hAnsi="Arial"/>
          <w:b/>
          <w:bCs/>
          <w:color w:val="0065BD"/>
          <w:sz w:val="28"/>
          <w:szCs w:val="28"/>
        </w:rPr>
        <w:t xml:space="preserve">3.2 Article 22 UK GDPR</w:t>
      </w:r>
    </w:p>
    <w:p>
      <w:pPr>
        <w:spacing w:after="140" w:before="0"/>
      </w:pPr>
      <w:r>
        <w:rPr>
          <w:rFonts w:ascii="Arial" w:cs="Arial" w:eastAsia="Arial" w:hAnsi="Arial"/>
          <w:sz w:val="22"/>
          <w:szCs w:val="22"/>
        </w:rPr>
        <w:t xml:space="preserve">The complementary UK regime under article 22 UK GDPR</w:t>
      </w:r>
      <w:r>
        <w:rPr>
          <w:rStyle w:val="FootnoteReference"/>
        </w:rPr>
        <w:footnoteReference w:id="10"/>
      </w:r>
      <w:r>
        <w:rPr>
          <w:rFonts w:ascii="Arial" w:cs="Arial" w:eastAsia="Arial" w:hAnsi="Arial"/>
          <w:sz w:val="22"/>
          <w:szCs w:val="22"/>
        </w:rPr>
        <w:t xml:space="preserve"> addresses automated decision-making, including profiling. The Information Commissioner's Office has consulted, in March to May 2026, on draft updated guidance reflecting the changes to article 22 introduced by the Data (Use and Access) Act 2025.</w:t>
      </w:r>
      <w:r>
        <w:rPr>
          <w:rStyle w:val="FootnoteReference"/>
        </w:rPr>
        <w:footnoteReference w:id="11"/>
      </w:r>
    </w:p>
    <w:p>
      <w:pPr>
        <w:spacing w:after="140" w:before="0"/>
      </w:pPr>
      <w:r>
        <w:rPr>
          <w:rFonts w:ascii="Arial" w:cs="Arial" w:eastAsia="Arial" w:hAnsi="Arial"/>
          <w:sz w:val="22"/>
          <w:szCs w:val="22"/>
        </w:rPr>
        <w:t xml:space="preserve">Article 22 is critical for protecting individuals from solely automated decisions of consequence. It is not, however, a regime addressed to the speech outputs of AI services. Article 22 engages where the decision is automated; not where the speech is. A chatbot that tells a child to kill themselves is not making an automated decision in the article 22 sense. Article 22 does not engage. The corresponding statutory protections do not engage. The data subject is left to the slower and less developed law of negligence, of duty of care, and of product liability.</w:t>
      </w:r>
    </w:p>
    <w:p>
      <w:pPr>
        <w:pStyle w:val="Heading2"/>
        <w:spacing w:after="140" w:before="280"/>
      </w:pPr>
      <w:r>
        <w:rPr>
          <w:rFonts w:ascii="Arial" w:cs="Arial" w:eastAsia="Arial" w:hAnsi="Arial"/>
          <w:b/>
          <w:bCs/>
          <w:color w:val="0065BD"/>
          <w:sz w:val="28"/>
          <w:szCs w:val="28"/>
        </w:rPr>
        <w:t xml:space="preserve">3.3 Negligence and product liability</w:t>
      </w:r>
    </w:p>
    <w:p>
      <w:pPr>
        <w:spacing w:after="140" w:before="0"/>
      </w:pPr>
      <w:r>
        <w:rPr>
          <w:rFonts w:ascii="Arial" w:cs="Arial" w:eastAsia="Arial" w:hAnsi="Arial"/>
          <w:sz w:val="22"/>
          <w:szCs w:val="22"/>
        </w:rPr>
        <w:t xml:space="preserve">In the absence of a specific statutory framework, claims arising from harm caused by an AI chatbot fall to the law of tort. The </w:t>
      </w:r>
      <w:r>
        <w:rPr>
          <w:rFonts w:ascii="Arial" w:cs="Arial" w:eastAsia="Arial" w:hAnsi="Arial"/>
          <w:i/>
          <w:iCs/>
          <w:sz w:val="22"/>
          <w:szCs w:val="22"/>
        </w:rPr>
        <w:t xml:space="preserve">Garcia</w:t>
      </w:r>
      <w:r>
        <w:rPr>
          <w:rFonts w:ascii="Arial" w:cs="Arial" w:eastAsia="Arial" w:hAnsi="Arial"/>
          <w:sz w:val="22"/>
          <w:szCs w:val="22"/>
        </w:rPr>
        <w:t xml:space="preserve"> and </w:t>
      </w:r>
      <w:r>
        <w:rPr>
          <w:rFonts w:ascii="Arial" w:cs="Arial" w:eastAsia="Arial" w:hAnsi="Arial"/>
          <w:i/>
          <w:iCs/>
          <w:sz w:val="22"/>
          <w:szCs w:val="22"/>
        </w:rPr>
        <w:t xml:space="preserve">Raine</w:t>
      </w:r>
      <w:r>
        <w:rPr>
          <w:rFonts w:ascii="Arial" w:cs="Arial" w:eastAsia="Arial" w:hAnsi="Arial"/>
          <w:sz w:val="22"/>
          <w:szCs w:val="22"/>
        </w:rPr>
        <w:t xml:space="preserve"> cases proceed on theories which include the imposition of a duty of care on the AI service provider, breach of that duty, causation, and damage. They are valuable as test cases but they are slow, expensive, and uncertain. The bereaved family of a child who has died after an AI service's encouragement of self-harm should not be required to fund years of product-liability litigation in order to vindicate the principle that AI services, like other products which can cause death and serious harm, should be subject to a meaningful statutory safety regime.</w:t>
      </w:r>
    </w:p>
    <w:p>
      <w:r>
        <w:br w:type="page"/>
      </w:r>
    </w:p>
    <w:p>
      <w:pPr>
        <w:pStyle w:val="Heading1"/>
        <w:spacing w:after="200" w:before="360"/>
      </w:pPr>
      <w:r>
        <w:rPr>
          <w:rFonts w:ascii="Arial" w:cs="Arial" w:eastAsia="Arial" w:hAnsi="Arial"/>
          <w:b/>
          <w:bCs/>
          <w:color w:val="0F172A"/>
          <w:sz w:val="36"/>
          <w:szCs w:val="36"/>
        </w:rPr>
        <w:t xml:space="preserve">4. What a speakers framework would require</w:t>
      </w:r>
    </w:p>
    <w:p>
      <w:pPr>
        <w:spacing w:after="140" w:before="0"/>
      </w:pPr>
      <w:r>
        <w:rPr>
          <w:rFonts w:ascii="Arial" w:cs="Arial" w:eastAsia="Arial" w:hAnsi="Arial"/>
          <w:sz w:val="22"/>
          <w:szCs w:val="22"/>
        </w:rPr>
        <w:t xml:space="preserve">A coherent UK statutory response would treat AI services, in their generative and conversational uses, as speakers; and would impose, on those who design, deploy, and operate them, a set of obligations corresponding to that role. FAIR proposes the following core elements.</w:t>
      </w:r>
    </w:p>
    <w:p>
      <w:pPr>
        <w:pStyle w:val="Heading2"/>
        <w:spacing w:after="140" w:before="280"/>
      </w:pPr>
      <w:r>
        <w:rPr>
          <w:rFonts w:ascii="Arial" w:cs="Arial" w:eastAsia="Arial" w:hAnsi="Arial"/>
          <w:b/>
          <w:bCs/>
          <w:color w:val="0065BD"/>
          <w:sz w:val="28"/>
          <w:szCs w:val="28"/>
        </w:rPr>
        <w:t xml:space="preserve">4.1 A statutory product-safety duty</w:t>
      </w:r>
    </w:p>
    <w:p>
      <w:pPr>
        <w:spacing w:after="140" w:before="0"/>
      </w:pPr>
      <w:r>
        <w:rPr>
          <w:rFonts w:ascii="Arial" w:cs="Arial" w:eastAsia="Arial" w:hAnsi="Arial"/>
          <w:sz w:val="22"/>
          <w:szCs w:val="22"/>
        </w:rPr>
        <w:t xml:space="preserve">The first element is a positive duty on the provider of a generative AI service to design and operate the service so as to avoid foreseeable harm to its users, and in particular to its child users. The duty would include obligations of routine red-teaming for self-harm, suicide, eating-disorder, and grooming outputs; of crisis-response routing on detection of self-harm signals; of hard prohibition on the generation of self-harm or suicide methods to under-18 users; and of meaningful age assurance for services accessible to children.</w:t>
      </w:r>
    </w:p>
    <w:p>
      <w:pPr>
        <w:spacing w:after="140" w:before="0"/>
      </w:pPr>
      <w:r>
        <w:rPr>
          <w:rFonts w:ascii="Arial" w:cs="Arial" w:eastAsia="Arial" w:hAnsi="Arial"/>
          <w:sz w:val="22"/>
          <w:szCs w:val="22"/>
        </w:rPr>
        <w:t xml:space="preserve">Such a duty draws on the architecture of consumer-product safety in the United Kingdom and on the duties of care imposed in regulated sectors such as pharmaceuticals, medical devices, and aviation. It is a model the United Kingdom understands. It is not the architecture of the Online Safety Act, but it is a complement to it.</w:t>
      </w:r>
    </w:p>
    <w:p>
      <w:pPr>
        <w:pStyle w:val="Heading2"/>
        <w:spacing w:after="140" w:before="280"/>
      </w:pPr>
      <w:r>
        <w:rPr>
          <w:rFonts w:ascii="Arial" w:cs="Arial" w:eastAsia="Arial" w:hAnsi="Arial"/>
          <w:b/>
          <w:bCs/>
          <w:color w:val="0065BD"/>
          <w:sz w:val="28"/>
          <w:szCs w:val="28"/>
        </w:rPr>
        <w:t xml:space="preserve">4.2 Statutory takedown and reporting for AI-generated CSAM</w:t>
      </w:r>
    </w:p>
    <w:p>
      <w:pPr>
        <w:spacing w:after="140" w:before="0"/>
      </w:pPr>
      <w:r>
        <w:rPr>
          <w:rFonts w:ascii="Arial" w:cs="Arial" w:eastAsia="Arial" w:hAnsi="Arial"/>
          <w:sz w:val="22"/>
          <w:szCs w:val="22"/>
        </w:rPr>
        <w:t xml:space="preserve">The second element is a statutory duty on AI service providers to detect, take down, and report AI-generated child sexual abuse material to the National Crime Agency Child Exploitation and Online Protection Command, with reporting obligations equivalent in scope to those imposed on US providers under 18 USC s 2258A. The IWF figures cited above are not a forecast; they are the position as of the most recent reporting cycle. UK enforcement capacity has not scaled with the harm. A statutory reporting duty, with corresponding penalties for non-reporting and corresponding resourcing of the agencies that receive the reports, is necessary if the policy intent of criminalising AI-CSAM is to be realised in practice.</w:t>
      </w:r>
    </w:p>
    <w:p>
      <w:pPr>
        <w:pStyle w:val="Heading2"/>
        <w:spacing w:after="140" w:before="280"/>
      </w:pPr>
      <w:r>
        <w:rPr>
          <w:rFonts w:ascii="Arial" w:cs="Arial" w:eastAsia="Arial" w:hAnsi="Arial"/>
          <w:b/>
          <w:bCs/>
          <w:color w:val="0065BD"/>
          <w:sz w:val="28"/>
          <w:szCs w:val="28"/>
        </w:rPr>
        <w:t xml:space="preserve">4.3 A child-presence assessment duty</w:t>
      </w:r>
    </w:p>
    <w:p>
      <w:pPr>
        <w:spacing w:after="140" w:before="0"/>
      </w:pPr>
      <w:r>
        <w:rPr>
          <w:rFonts w:ascii="Arial" w:cs="Arial" w:eastAsia="Arial" w:hAnsi="Arial"/>
          <w:sz w:val="22"/>
          <w:szCs w:val="22"/>
        </w:rPr>
        <w:t xml:space="preserve">The third element is a duty on AI service providers, even where they do not market the service to children, to assess whether their service is in fact being used by children, and to make and document specific design choices in response. The model is the data-protection impact assessment under the UK GDPR; it would sit alongside, and where relevant integrate with, that existing instrument.</w:t>
      </w:r>
    </w:p>
    <w:p>
      <w:pPr>
        <w:spacing w:after="140" w:before="0"/>
      </w:pPr>
      <w:r>
        <w:rPr>
          <w:rFonts w:ascii="Arial" w:cs="Arial" w:eastAsia="Arial" w:hAnsi="Arial"/>
          <w:sz w:val="22"/>
          <w:szCs w:val="22"/>
        </w:rPr>
        <w:t xml:space="preserve">In current commercial practice, providers of general-purpose AI services routinely deny intent to serve children while operating services which are obviously and predictably used by children. The child-presence assessment duty closes the gap. It does not require the provider to exit the child market; it requires the provider to act, on the published evidence of how children use the service, to mitigate the harms documented in the IWF, NSPCC, and Graphika research.</w:t>
      </w:r>
    </w:p>
    <w:p>
      <w:pPr>
        <w:pStyle w:val="Heading2"/>
        <w:spacing w:after="140" w:before="280"/>
      </w:pPr>
      <w:r>
        <w:rPr>
          <w:rFonts w:ascii="Arial" w:cs="Arial" w:eastAsia="Arial" w:hAnsi="Arial"/>
          <w:b/>
          <w:bCs/>
          <w:color w:val="0065BD"/>
          <w:sz w:val="28"/>
          <w:szCs w:val="28"/>
        </w:rPr>
        <w:t xml:space="preserve">4.4 A statutory cause of action</w:t>
      </w:r>
    </w:p>
    <w:p>
      <w:pPr>
        <w:spacing w:after="140" w:before="0"/>
      </w:pPr>
      <w:r>
        <w:rPr>
          <w:rFonts w:ascii="Arial" w:cs="Arial" w:eastAsia="Arial" w:hAnsi="Arial"/>
          <w:sz w:val="22"/>
          <w:szCs w:val="22"/>
        </w:rPr>
        <w:t xml:space="preserve">The fourth element is a statutory cause of action for parents and guardians where AI services have caused or materially contributed to physical or psychological harm to a child, with a presumption of joint and several liability across the AI service provider and the platform on which the service is hosted. The statutory cause of action would not displace the existing law of tort; it would supplement it, with a defined statutory test, a defined limitation period, and a defined route to disclosure of the relevant chat logs and platform records.</w:t>
      </w:r>
    </w:p>
    <w:p>
      <w:pPr>
        <w:pStyle w:val="Heading2"/>
        <w:spacing w:after="140" w:before="280"/>
      </w:pPr>
      <w:r>
        <w:rPr>
          <w:rFonts w:ascii="Arial" w:cs="Arial" w:eastAsia="Arial" w:hAnsi="Arial"/>
          <w:b/>
          <w:bCs/>
          <w:color w:val="0065BD"/>
          <w:sz w:val="28"/>
          <w:szCs w:val="28"/>
        </w:rPr>
        <w:t xml:space="preserve">4.5 A standing AI-and-children advisory group</w:t>
      </w:r>
    </w:p>
    <w:p>
      <w:pPr>
        <w:spacing w:after="140" w:before="0"/>
      </w:pPr>
      <w:r>
        <w:rPr>
          <w:rFonts w:ascii="Arial" w:cs="Arial" w:eastAsia="Arial" w:hAnsi="Arial"/>
          <w:sz w:val="22"/>
          <w:szCs w:val="22"/>
        </w:rPr>
        <w:t xml:space="preserve">The fifth element is a standing advisory group, reporting annually to Parliament, drawn from civil society, the regulators (Ofcom, the ICO, the Medicines and Healthcare products Regulatory Agency where relevant, and the Intellectual Property Office), the IWF, and frontline child-safeguarding professionals. The advisory group would offer Parliament independent, ongoing assessment of the AI-and-children harm landscape and would recommend statutory or regulatory updates as that landscape changes.</w:t>
      </w:r>
    </w:p>
    <w:p>
      <w:r>
        <w:br w:type="page"/>
      </w:r>
    </w:p>
    <w:p>
      <w:pPr>
        <w:pStyle w:val="Heading1"/>
        <w:spacing w:after="200" w:before="360"/>
      </w:pPr>
      <w:r>
        <w:rPr>
          <w:rFonts w:ascii="Arial" w:cs="Arial" w:eastAsia="Arial" w:hAnsi="Arial"/>
          <w:b/>
          <w:bCs/>
          <w:color w:val="0F172A"/>
          <w:sz w:val="36"/>
          <w:szCs w:val="36"/>
        </w:rPr>
        <w:t xml:space="preserve">5. International comparators</w:t>
      </w:r>
    </w:p>
    <w:p>
      <w:pPr>
        <w:pStyle w:val="Heading2"/>
        <w:spacing w:after="140" w:before="280"/>
      </w:pPr>
      <w:r>
        <w:rPr>
          <w:rFonts w:ascii="Arial" w:cs="Arial" w:eastAsia="Arial" w:hAnsi="Arial"/>
          <w:b/>
          <w:bCs/>
          <w:color w:val="0065BD"/>
          <w:sz w:val="28"/>
          <w:szCs w:val="28"/>
        </w:rPr>
        <w:t xml:space="preserve">5.1 The European Union</w:t>
      </w:r>
    </w:p>
    <w:p>
      <w:pPr>
        <w:spacing w:after="140" w:before="0"/>
      </w:pPr>
      <w:r>
        <w:rPr>
          <w:rFonts w:ascii="Arial" w:cs="Arial" w:eastAsia="Arial" w:hAnsi="Arial"/>
          <w:sz w:val="22"/>
          <w:szCs w:val="22"/>
        </w:rPr>
        <w:t xml:space="preserve">The EU AI Act</w:t>
      </w:r>
      <w:r>
        <w:rPr>
          <w:rStyle w:val="FootnoteReference"/>
        </w:rPr>
        <w:footnoteReference w:id="16"/>
      </w:r>
      <w:r>
        <w:rPr>
          <w:rFonts w:ascii="Arial" w:cs="Arial" w:eastAsia="Arial" w:hAnsi="Arial"/>
          <w:sz w:val="22"/>
          <w:szCs w:val="22"/>
        </w:rPr>
        <w:t xml:space="preserve"> makes a partial move towards a speakers framework. Article 50 imposes transparency duties on providers of certain generative AI systems, requiring (among other things) that AI-generated content be labelled and that users be informed they are interacting with an AI system. Article 5 prohibits a small set of practices outright, including those which exploit the vulnerabilities of a specific group of persons due to their age. The Act does not, however, contain the equivalent of a product-safety regime addressed to conversational AI services and their generative speech.</w:t>
      </w:r>
    </w:p>
    <w:p>
      <w:pPr>
        <w:spacing w:after="140" w:before="0"/>
      </w:pPr>
      <w:r>
        <w:rPr>
          <w:rFonts w:ascii="Arial" w:cs="Arial" w:eastAsia="Arial" w:hAnsi="Arial"/>
          <w:sz w:val="22"/>
          <w:szCs w:val="22"/>
        </w:rPr>
        <w:t xml:space="preserve">The United Kingdom is well placed to learn from the EU framework, including from the gaps. The Article 50 transparency obligations are a useful complement to but not a substitute for product-safety regulation; the Article 5 prohibition is a useful floor but not a comprehensive answer; and the AI Act's overall risk-classification scheme will be administratively cumbersome where the speed of harm requires fast regulatory action.</w:t>
      </w:r>
    </w:p>
    <w:p>
      <w:pPr>
        <w:pStyle w:val="Heading2"/>
        <w:spacing w:after="140" w:before="280"/>
      </w:pPr>
      <w:r>
        <w:rPr>
          <w:rFonts w:ascii="Arial" w:cs="Arial" w:eastAsia="Arial" w:hAnsi="Arial"/>
          <w:b/>
          <w:bCs/>
          <w:color w:val="0065BD"/>
          <w:sz w:val="28"/>
          <w:szCs w:val="28"/>
        </w:rPr>
        <w:t xml:space="preserve">5.2 The United States</w:t>
      </w:r>
    </w:p>
    <w:p>
      <w:pPr>
        <w:spacing w:after="140" w:before="0"/>
      </w:pPr>
      <w:r>
        <w:rPr>
          <w:rFonts w:ascii="Arial" w:cs="Arial" w:eastAsia="Arial" w:hAnsi="Arial"/>
          <w:sz w:val="22"/>
          <w:szCs w:val="22"/>
        </w:rPr>
        <w:t xml:space="preserve">In the United States, the federal-law position remains shaped by section 230 of the Communications Decency Act,</w:t>
      </w:r>
      <w:r>
        <w:rPr>
          <w:rStyle w:val="FootnoteReference"/>
        </w:rPr>
        <w:footnoteReference w:id="17"/>
      </w:r>
      <w:r>
        <w:rPr>
          <w:rFonts w:ascii="Arial" w:cs="Arial" w:eastAsia="Arial" w:hAnsi="Arial"/>
          <w:sz w:val="22"/>
          <w:szCs w:val="22"/>
        </w:rPr>
        <w:t xml:space="preserve"> which immunises interactive computer services from liability for the speech of their users. The application of section 230 to AI-generated speech is contested. The plaintiffs in </w:t>
      </w:r>
      <w:r>
        <w:rPr>
          <w:rFonts w:ascii="Arial" w:cs="Arial" w:eastAsia="Arial" w:hAnsi="Arial"/>
          <w:i/>
          <w:iCs/>
          <w:sz w:val="22"/>
          <w:szCs w:val="22"/>
        </w:rPr>
        <w:t xml:space="preserve">Garcia</w:t>
      </w:r>
      <w:r>
        <w:rPr>
          <w:rFonts w:ascii="Arial" w:cs="Arial" w:eastAsia="Arial" w:hAnsi="Arial"/>
          <w:sz w:val="22"/>
          <w:szCs w:val="22"/>
        </w:rPr>
        <w:t xml:space="preserve"> and </w:t>
      </w:r>
      <w:r>
        <w:rPr>
          <w:rFonts w:ascii="Arial" w:cs="Arial" w:eastAsia="Arial" w:hAnsi="Arial"/>
          <w:i/>
          <w:iCs/>
          <w:sz w:val="22"/>
          <w:szCs w:val="22"/>
        </w:rPr>
        <w:t xml:space="preserve">Raine</w:t>
      </w:r>
      <w:r>
        <w:rPr>
          <w:rFonts w:ascii="Arial" w:cs="Arial" w:eastAsia="Arial" w:hAnsi="Arial"/>
          <w:sz w:val="22"/>
          <w:szCs w:val="22"/>
        </w:rPr>
        <w:t xml:space="preserve"> both argue, in different formulations, that AI-generated speech is not third-party speech for section 230 purposes; the courts have not yet given a binding answer. The Supreme Court's reasoning in </w:t>
      </w:r>
      <w:r>
        <w:rPr>
          <w:rFonts w:ascii="Arial" w:cs="Arial" w:eastAsia="Arial" w:hAnsi="Arial"/>
          <w:i/>
          <w:iCs/>
          <w:sz w:val="22"/>
          <w:szCs w:val="22"/>
        </w:rPr>
        <w:t xml:space="preserve">Moody v NetChoice LLC</w:t>
      </w:r>
      <w:r>
        <w:rPr>
          <w:rFonts w:ascii="Arial" w:cs="Arial" w:eastAsia="Arial" w:hAnsi="Arial"/>
          <w:sz w:val="22"/>
          <w:szCs w:val="22"/>
        </w:rPr>
        <w:t xml:space="preserve">,</w:t>
      </w:r>
      <w:r>
        <w:rPr>
          <w:rStyle w:val="FootnoteReference"/>
        </w:rPr>
        <w:footnoteReference w:id="18"/>
      </w:r>
      <w:r>
        <w:rPr>
          <w:rFonts w:ascii="Arial" w:cs="Arial" w:eastAsia="Arial" w:hAnsi="Arial"/>
          <w:sz w:val="22"/>
          <w:szCs w:val="22"/>
        </w:rPr>
        <w:t xml:space="preserve"> on the related question of whether algorithmic curation can attract First Amendment protection as the speech of the platform, suggests that the courts may be receptive to an argument that AI-generated speech is similarly attributable to the service rather than to the user.</w:t>
      </w:r>
    </w:p>
    <w:p>
      <w:pPr>
        <w:spacing w:after="140" w:before="0"/>
      </w:pPr>
      <w:r>
        <w:rPr>
          <w:rFonts w:ascii="Arial" w:cs="Arial" w:eastAsia="Arial" w:hAnsi="Arial"/>
          <w:sz w:val="22"/>
          <w:szCs w:val="22"/>
        </w:rPr>
        <w:t xml:space="preserve">The United Kingdom is not constrained by section 230. It is free to legislate, as it has done in respect of the Online Safety Act, on a different basis. It should do so.</w:t>
      </w:r>
    </w:p>
    <w:p>
      <w:pPr>
        <w:pStyle w:val="Heading1"/>
        <w:spacing w:after="200" w:before="360"/>
      </w:pPr>
      <w:r>
        <w:rPr>
          <w:rFonts w:ascii="Arial" w:cs="Arial" w:eastAsia="Arial" w:hAnsi="Arial"/>
          <w:b/>
          <w:bCs/>
          <w:color w:val="0F172A"/>
          <w:sz w:val="36"/>
          <w:szCs w:val="36"/>
        </w:rPr>
        <w:t xml:space="preserve">6. A note on political activity</w:t>
      </w:r>
    </w:p>
    <w:p>
      <w:pPr>
        <w:spacing w:after="140" w:before="0"/>
      </w:pPr>
      <w:r>
        <w:rPr>
          <w:rFonts w:ascii="Arial" w:cs="Arial" w:eastAsia="Arial" w:hAnsi="Arial"/>
          <w:sz w:val="22"/>
          <w:szCs w:val="22"/>
        </w:rPr>
        <w:t xml:space="preserve">FAIR is a UK charity (registration pending). Its charitable purposes</w:t>
      </w:r>
      <w:r>
        <w:rPr>
          <w:rStyle w:val="FootnoteReference"/>
        </w:rPr>
        <w:footnoteReference w:id="12"/>
      </w:r>
      <w:r>
        <w:rPr>
          <w:rFonts w:ascii="Arial" w:cs="Arial" w:eastAsia="Arial" w:hAnsi="Arial"/>
          <w:sz w:val="22"/>
          <w:szCs w:val="22"/>
        </w:rPr>
        <w:t xml:space="preserve"> are the advancement of education in the legal, ethical, social, and economic implications of artificial intelligence; and the advancement of human rights as those rights are engaged by the development, deployment, and governance of artificial intelligence. The Charity Commission's guidance on campaigning and political activity by charities (CC9)</w:t>
      </w:r>
      <w:r>
        <w:rPr>
          <w:rStyle w:val="FootnoteReference"/>
        </w:rPr>
        <w:footnoteReference w:id="22"/>
      </w:r>
      <w:r>
        <w:rPr>
          <w:rFonts w:ascii="Arial" w:cs="Arial" w:eastAsia="Arial" w:hAnsi="Arial"/>
          <w:sz w:val="22"/>
          <w:szCs w:val="22"/>
        </w:rPr>
        <w:t xml:space="preserve"> confirms that political activity, including engagement with Parliamentarians and government on legislative reform, may be undertaken by a charity in support of its charitable purposes provided that political activity is not, and does not become, the reason for the charity's existence.</w:t>
      </w:r>
    </w:p>
    <w:p>
      <w:pPr>
        <w:spacing w:after="140" w:before="0"/>
      </w:pPr>
      <w:r>
        <w:rPr>
          <w:rFonts w:ascii="Arial" w:cs="Arial" w:eastAsia="Arial" w:hAnsi="Arial"/>
          <w:sz w:val="22"/>
          <w:szCs w:val="22"/>
        </w:rPr>
        <w:t xml:space="preserve">The proposals advanced in this briefing are advanced in support of FAIR's charitable purposes. The advancement of public understanding of AI services and the rights they engage is, in the context of the harms documented above, served by the publication of evidence-based briefings of this kind. The advancement of human rights, in particular the rights of children to life, to the highest attainable standard of physical and mental health, and to protection from violence, is served by the legal framework here proposed. FAIR's engagement with Parliament and the regulators on these proposals is undertaken on that footing.</w:t>
      </w:r>
    </w:p>
    <w:p>
      <w:pPr>
        <w:pStyle w:val="Heading1"/>
        <w:spacing w:after="200" w:before="360"/>
      </w:pPr>
      <w:r>
        <w:rPr>
          <w:rFonts w:ascii="Arial" w:cs="Arial" w:eastAsia="Arial" w:hAnsi="Arial"/>
          <w:b/>
          <w:bCs/>
          <w:color w:val="0F172A"/>
          <w:sz w:val="36"/>
          <w:szCs w:val="36"/>
        </w:rPr>
        <w:t xml:space="preserve">7. Recommendations</w:t>
      </w:r>
    </w:p>
    <w:p>
      <w:pPr>
        <w:spacing w:after="140" w:before="0"/>
      </w:pPr>
      <w:r>
        <w:rPr>
          <w:rFonts w:ascii="Arial" w:cs="Arial" w:eastAsia="Arial" w:hAnsi="Arial"/>
          <w:sz w:val="22"/>
          <w:szCs w:val="22"/>
        </w:rPr>
        <w:t xml:space="preserve">FAIR recommends that the United Kingdom Government, in concert with Ofcom, the Information Commissioner's Office, and the relevant Departments, take the following steps.</w:t>
      </w:r>
    </w:p>
    <w:p>
      <w:pPr>
        <w:pStyle w:val="ListParagraph"/>
        <w:numPr>
          <w:ilvl w:val="0"/>
          <w:numId w:val="2"/>
        </w:numPr>
        <w:spacing w:after="80"/>
      </w:pPr>
      <w:r>
        <w:rPr>
          <w:rFonts w:ascii="Arial" w:cs="Arial" w:eastAsia="Arial" w:hAnsi="Arial"/>
          <w:sz w:val="22"/>
          <w:szCs w:val="22"/>
        </w:rPr>
        <w:t xml:space="preserve">Bring AI chatbot providers explicitly within scope of the illegal-content duties under the Online Safety Act 2023, on a footing that recognises the AI service as the speaker rather than as the host. The Government has signalled an intention to do so in early 2026; we urge that the legislation not understate the speaker-host distinction.</w:t>
      </w:r>
    </w:p>
    <w:p>
      <w:pPr>
        <w:pStyle w:val="ListParagraph"/>
        <w:numPr>
          <w:ilvl w:val="0"/>
          <w:numId w:val="2"/>
        </w:numPr>
        <w:spacing w:after="80"/>
      </w:pPr>
      <w:r>
        <w:rPr>
          <w:rFonts w:ascii="Arial" w:cs="Arial" w:eastAsia="Arial" w:hAnsi="Arial"/>
          <w:sz w:val="22"/>
          <w:szCs w:val="22"/>
        </w:rPr>
        <w:t xml:space="preserve">Enact a statutory product-safety duty on the providers of generative AI services accessible to UK users, as set out at section 4.1 above.</w:t>
      </w:r>
    </w:p>
    <w:p>
      <w:pPr>
        <w:pStyle w:val="ListParagraph"/>
        <w:numPr>
          <w:ilvl w:val="0"/>
          <w:numId w:val="2"/>
        </w:numPr>
        <w:spacing w:after="80"/>
      </w:pPr>
      <w:r>
        <w:rPr>
          <w:rFonts w:ascii="Arial" w:cs="Arial" w:eastAsia="Arial" w:hAnsi="Arial"/>
          <w:sz w:val="22"/>
          <w:szCs w:val="22"/>
        </w:rPr>
        <w:t xml:space="preserve">Enact a statutory duty on AI service providers to detect, take down, and report AI-generated CSAM, with reporting obligations equivalent in scope to those imposed on US providers under 18 USC s 2258A.</w:t>
      </w:r>
    </w:p>
    <w:p>
      <w:pPr>
        <w:pStyle w:val="ListParagraph"/>
        <w:numPr>
          <w:ilvl w:val="0"/>
          <w:numId w:val="2"/>
        </w:numPr>
        <w:spacing w:after="80"/>
      </w:pPr>
      <w:r>
        <w:rPr>
          <w:rFonts w:ascii="Arial" w:cs="Arial" w:eastAsia="Arial" w:hAnsi="Arial"/>
          <w:sz w:val="22"/>
          <w:szCs w:val="22"/>
        </w:rPr>
        <w:t xml:space="preserve">Enact a child-presence assessment duty on AI service providers, alongside the existing data-protection impact assessment under the UK GDPR.</w:t>
      </w:r>
    </w:p>
    <w:p>
      <w:pPr>
        <w:pStyle w:val="ListParagraph"/>
        <w:numPr>
          <w:ilvl w:val="0"/>
          <w:numId w:val="2"/>
        </w:numPr>
        <w:spacing w:after="80"/>
      </w:pPr>
      <w:r>
        <w:rPr>
          <w:rFonts w:ascii="Arial" w:cs="Arial" w:eastAsia="Arial" w:hAnsi="Arial"/>
          <w:sz w:val="22"/>
          <w:szCs w:val="22"/>
        </w:rPr>
        <w:t xml:space="preserve">Enact a statutory cause of action for parents and guardians where AI services have caused or materially contributed to harm to a child, with joint and several liability across the AI service provider and the hosting platform.</w:t>
      </w:r>
    </w:p>
    <w:p>
      <w:pPr>
        <w:pStyle w:val="ListParagraph"/>
        <w:numPr>
          <w:ilvl w:val="0"/>
          <w:numId w:val="2"/>
        </w:numPr>
        <w:spacing w:after="80"/>
      </w:pPr>
      <w:r>
        <w:rPr>
          <w:rFonts w:ascii="Arial" w:cs="Arial" w:eastAsia="Arial" w:hAnsi="Arial"/>
          <w:sz w:val="22"/>
          <w:szCs w:val="22"/>
        </w:rPr>
        <w:t xml:space="preserve">Constitute a standing AI-and-children advisory group, reporting annually to Parliament.</w:t>
      </w:r>
    </w:p>
    <w:p>
      <w:pPr>
        <w:pStyle w:val="ListParagraph"/>
        <w:numPr>
          <w:ilvl w:val="0"/>
          <w:numId w:val="2"/>
        </w:numPr>
        <w:spacing w:after="80"/>
      </w:pPr>
      <w:r>
        <w:rPr>
          <w:rFonts w:ascii="Arial" w:cs="Arial" w:eastAsia="Arial" w:hAnsi="Arial"/>
          <w:sz w:val="22"/>
          <w:szCs w:val="22"/>
        </w:rPr>
        <w:t xml:space="preserve">Implement the proposed update to Keeping Children Safe in Education,</w:t>
      </w:r>
    </w:p>
    <w:p>
      <w:r>
        <w:br w:type="page"/>
      </w:r>
    </w:p>
    <w:p>
      <w:pPr>
        <w:pStyle w:val="Heading1"/>
        <w:spacing w:after="200" w:before="360"/>
      </w:pPr>
      <w:r>
        <w:rPr>
          <w:rFonts w:ascii="Arial" w:cs="Arial" w:eastAsia="Arial" w:hAnsi="Arial"/>
          <w:b/>
          <w:bCs/>
          <w:color w:val="0F172A"/>
          <w:sz w:val="36"/>
          <w:szCs w:val="36"/>
        </w:rPr>
        <w:t xml:space="preserve">8. Conclusion</w:t>
      </w:r>
    </w:p>
    <w:p>
      <w:pPr>
        <w:spacing w:after="140" w:before="0"/>
      </w:pPr>
      <w:r>
        <w:rPr>
          <w:rFonts w:ascii="Arial" w:cs="Arial" w:eastAsia="Arial" w:hAnsi="Arial"/>
          <w:sz w:val="22"/>
          <w:szCs w:val="22"/>
        </w:rPr>
        <w:t xml:space="preserve">Sewell Setzer was 14 years old when he died. Adam Raine was 16. The platforms on which they died were, in the language of the law on which our online-safety framework rests, hosts. They were not. They were speakers. The harm to which they contributed was not the harm of failing to remove the speech of others. It was the harm of speaking, themselves, words that no person would have spoken, and that no platform could lawfully have hosted, to a child in distress.</w:t>
      </w:r>
    </w:p>
    <w:p>
      <w:pPr>
        <w:spacing w:after="140" w:before="0"/>
      </w:pPr>
      <w:r>
        <w:rPr>
          <w:rFonts w:ascii="Arial" w:cs="Arial" w:eastAsia="Arial" w:hAnsi="Arial"/>
          <w:sz w:val="22"/>
          <w:szCs w:val="22"/>
        </w:rPr>
        <w:t xml:space="preserve">The United Kingdom's online-safety framework can adapt. Its product-safety framework can adapt. Its statutory architecture for the protection of children can adapt. The architecture has changed; the law must follow. This briefing has set out, in summary, the legal moves that following the architecture would entail. The Government, the regulators, and Parliament now have the responsibility to make those moves.</w:t>
      </w:r>
    </w:p>
    <w:p>
      <w:pPr>
        <w:pStyle w:val="Heading1"/>
        <w:spacing w:after="200" w:before="360"/>
      </w:pPr>
      <w:r>
        <w:rPr>
          <w:rFonts w:ascii="Arial" w:cs="Arial" w:eastAsia="Arial" w:hAnsi="Arial"/>
          <w:b/>
          <w:bCs/>
          <w:color w:val="0F172A"/>
          <w:sz w:val="36"/>
          <w:szCs w:val="36"/>
        </w:rPr>
        <w:t xml:space="preserve">9. About FAIR</w:t>
      </w:r>
    </w:p>
    <w:p>
      <w:pPr>
        <w:spacing w:after="140" w:before="0"/>
      </w:pPr>
      <w:r>
        <w:rPr>
          <w:rFonts w:ascii="Arial" w:cs="Arial" w:eastAsia="Arial" w:hAnsi="Arial"/>
          <w:sz w:val="22"/>
          <w:szCs w:val="22"/>
        </w:rPr>
        <w:t xml:space="preserve">The Foundation for Artificial Intelligence Rights (FAIR) is a charity in the United Kingdom (registration pending) advancing public understanding of artificial intelligence and the rights it engages. FAIR's charitable purposes</w:t>
      </w:r>
      <w:r>
        <w:rPr>
          <w:rStyle w:val="FootnoteReference"/>
        </w:rPr>
        <w:footnoteReference w:id="21"/>
      </w:r>
      <w:r>
        <w:rPr>
          <w:rFonts w:ascii="Arial" w:cs="Arial" w:eastAsia="Arial" w:hAnsi="Arial"/>
          <w:sz w:val="22"/>
          <w:szCs w:val="22"/>
        </w:rPr>
        <w:t xml:space="preserve"> are: (a) the advancement of education in the legal, ethical, social, and economic implications of artificial intelligence and related technologies; and (b) the advancement of human rights as those rights are engaged by the development, deployment, and governance of artificial intelligence and related technologies. Both are recognised charitable purposes under section 3(1) of the Charities Act 2011.</w:t>
      </w:r>
      <w:r>
        <w:rPr>
          <w:rStyle w:val="FootnoteReference"/>
        </w:rPr>
        <w:footnoteReference w:id="12"/>
      </w:r>
    </w:p>
    <w:p>
      <w:pPr>
        <w:spacing w:after="140" w:before="0"/>
      </w:pPr>
      <w:r>
        <w:rPr>
          <w:rFonts w:ascii="Arial" w:cs="Arial" w:eastAsia="Arial" w:hAnsi="Arial"/>
          <w:sz w:val="22"/>
          <w:szCs w:val="22"/>
        </w:rPr>
        <w:t xml:space="preserve">FAIR is independent of Government, of any political party, and of the AI industry. We do not accept funding from AI developers, AI deployers, social-media platforms, gaming-industry actors, or any organisation whose commercial interests would be materially affected by the position FAIR takes in this briefing.</w:t>
      </w:r>
    </w:p>
    <w:p>
      <w:pPr>
        <w:spacing w:after="140" w:before="0"/>
      </w:pPr>
      <w:r>
        <w:rPr>
          <w:rFonts w:ascii="Arial" w:cs="Arial" w:eastAsia="Arial" w:hAnsi="Arial"/>
          <w:sz w:val="22"/>
          <w:szCs w:val="22"/>
        </w:rPr>
        <w:t xml:space="preserve">FAIR's submission to the Department for Science, Innovation and Technology consultation </w:t>
      </w:r>
      <w:r>
        <w:rPr>
          <w:rFonts w:ascii="Arial" w:cs="Arial" w:eastAsia="Arial" w:hAnsi="Arial"/>
          <w:i/>
          <w:iCs/>
          <w:sz w:val="22"/>
          <w:szCs w:val="22"/>
        </w:rPr>
        <w:t xml:space="preserve">Growing up in the online world: a national conversation</w:t>
      </w:r>
      <w:r>
        <w:rPr>
          <w:rFonts w:ascii="Arial" w:cs="Arial" w:eastAsia="Arial" w:hAnsi="Arial"/>
          <w:sz w:val="22"/>
          <w:szCs w:val="22"/>
        </w:rPr>
        <w:t xml:space="preserve">,</w:t>
      </w:r>
      <w:r>
        <w:rPr>
          <w:rStyle w:val="FootnoteReference"/>
        </w:rPr>
        <w:footnoteReference w:id="19"/>
      </w:r>
      <w:r>
        <w:rPr>
          <w:rFonts w:ascii="Arial" w:cs="Arial" w:eastAsia="Arial" w:hAnsi="Arial"/>
          <w:sz w:val="22"/>
          <w:szCs w:val="22"/>
        </w:rPr>
        <w:t xml:space="preserve"> which carries forward the analysis here in greater detail, is published on FAIR's submissions page.</w:t>
      </w:r>
      <w:r>
        <w:rPr>
          <w:rStyle w:val="FootnoteReference"/>
        </w:rPr>
        <w:footnoteReference w:id="20"/>
      </w:r>
    </w:p>
    <w:p>
      <w:pPr>
        <w:pStyle w:val="Heading1"/>
        <w:spacing w:after="200" w:before="360"/>
      </w:pPr>
      <w:r>
        <w:rPr>
          <w:rFonts w:ascii="Arial" w:cs="Arial" w:eastAsia="Arial" w:hAnsi="Arial"/>
          <w:b/>
          <w:bCs/>
          <w:color w:val="0F172A"/>
          <w:sz w:val="36"/>
          <w:szCs w:val="36"/>
        </w:rPr>
        <w:t xml:space="preserve">10. Contact</w:t>
      </w:r>
    </w:p>
    <w:p>
      <w:pPr>
        <w:spacing w:after="140" w:before="0"/>
      </w:pPr>
      <w:r>
        <w:rPr>
          <w:rFonts w:ascii="Arial" w:cs="Arial" w:eastAsia="Arial" w:hAnsi="Arial"/>
          <w:sz w:val="22"/>
          <w:szCs w:val="22"/>
        </w:rPr>
        <w:t xml:space="preserve">Further engagement on any aspect of this briefing is welcomed.</w:t>
      </w:r>
    </w:p>
    <w:p>
      <w:pPr>
        <w:spacing w:after="140" w:before="0"/>
      </w:pPr>
      <w:r>
        <w:rPr>
          <w:rFonts w:ascii="Arial" w:cs="Arial" w:eastAsia="Arial" w:hAnsi="Arial"/>
          <w:sz w:val="22"/>
          <w:szCs w:val="22"/>
        </w:rPr>
        <w:t xml:space="preserve">Scott McCulloch, Founder</w:t>
      </w:r>
    </w:p>
    <w:p>
      <w:pPr>
        <w:spacing w:after="140" w:before="0"/>
      </w:pPr>
      <w:r>
        <w:rPr>
          <w:rFonts w:ascii="Arial" w:cs="Arial" w:eastAsia="Arial" w:hAnsi="Arial"/>
          <w:sz w:val="22"/>
          <w:szCs w:val="22"/>
        </w:rPr>
        <w:t xml:space="preserve">The Foundation for Artificial Intelligence Rights (FAIR)</w:t>
      </w:r>
    </w:p>
    <w:p>
      <w:pPr>
        <w:spacing w:after="140" w:before="0"/>
      </w:pPr>
      <w:r>
        <w:rPr>
          <w:rFonts w:ascii="Arial" w:cs="Arial" w:eastAsia="Arial" w:hAnsi="Arial"/>
          <w:sz w:val="22"/>
          <w:szCs w:val="22"/>
        </w:rPr>
        <w:t xml:space="preserve">71-75 Shelton Street, Covent Garden, London WC2H 9JQ</w:t>
      </w:r>
    </w:p>
    <w:p>
      <w:pPr>
        <w:spacing w:after="140" w:before="0"/>
      </w:pPr>
      <w:r>
        <w:rPr>
          <w:rFonts w:ascii="Arial" w:cs="Arial" w:eastAsia="Arial" w:hAnsi="Arial"/>
          <w:sz w:val="22"/>
          <w:szCs w:val="22"/>
        </w:rPr>
        <w:t xml:space="preserve">Email: info@airights.org.uk</w:t>
      </w:r>
    </w:p>
    <w:p>
      <w:pPr>
        <w:spacing w:after="140" w:before="0"/>
      </w:pPr>
      <w:r>
        <w:rPr>
          <w:rFonts w:ascii="Arial" w:cs="Arial" w:eastAsia="Arial" w:hAnsi="Arial"/>
          <w:sz w:val="22"/>
          <w:szCs w:val="22"/>
        </w:rPr>
        <w:t xml:space="preserve">Web: airights.org.uk</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6C757D"/>
        <w:sz w:val="18"/>
        <w:szCs w:val="18"/>
      </w:rPr>
      <w:t xml:space="preserve">The Foundation for Artificial Intelligence Rights (FAIR)</w:t>
    </w:r>
    <w:r>
      <w:rPr>
        <w:rFonts w:ascii="Arial" w:cs="Arial" w:eastAsia="Arial" w:hAnsi="Arial"/>
      </w:rPr>
      <w:t xml:space="preserve">	</w:t>
    </w:r>
    <w:r>
      <w:rPr>
        <w:rFonts w:ascii="Arial" w:cs="Arial" w:eastAsia="Arial" w:hAnsi="Arial"/>
        <w:color w:val="6C757D"/>
        <w:sz w:val="18"/>
        <w:szCs w:val="18"/>
      </w:rPr>
      <w:t xml:space="preserve">Page </w:t>
    </w:r>
    <w:r>
      <w:rPr>
        <w:rFonts w:ascii="Arial" w:cs="Arial" w:eastAsia="Arial" w:hAnsi="Arial"/>
        <w:color w:val="6C757D"/>
        <w:sz w:val="18"/>
        <w:szCs w:val="18"/>
      </w:rPr>
      <w:fldChar w:fldCharType="begin"/>
      <w:instrText xml:space="preserve">PAGE</w:instrText>
      <w:fldChar w:fldCharType="separate"/>
      <w:fldChar w:fldCharType="end"/>
    </w:r>
    <w:r>
      <w:rPr>
        <w:rFonts w:ascii="Arial" w:cs="Arial" w:eastAsia="Arial" w:hAnsi="Arial"/>
        <w:color w:val="6C757D"/>
        <w:sz w:val="18"/>
        <w:szCs w:val="18"/>
      </w:rPr>
      <w:t xml:space="preserve"> of </w:t>
    </w:r>
    <w:r>
      <w:rPr>
        <w:rFonts w:ascii="Arial" w:cs="Arial" w:eastAsia="Arial" w:hAnsi="Arial"/>
        <w:color w:val="6C757D"/>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r>
        <w:rPr>
          <w:rStyle w:val="FootnoteReference"/>
        </w:rPr>
        <w:footnoteRef/>
      </w:r>
      <w:r>
        <w:rPr>
          <w:rFonts w:ascii="Arial" w:cs="Arial" w:eastAsia="Arial" w:hAnsi="Arial"/>
          <w:i/>
          <w:iCs/>
          <w:sz w:val="18"/>
          <w:szCs w:val="18"/>
        </w:rPr>
        <w:t xml:space="preserve">Garcia v Character Technologies Inc</w:t>
      </w:r>
      <w:r>
        <w:rPr>
          <w:rFonts w:ascii="Arial" w:cs="Arial" w:eastAsia="Arial" w:hAnsi="Arial"/>
          <w:sz w:val="18"/>
          <w:szCs w:val="18"/>
        </w:rPr>
        <w:t xml:space="preserve">, No 6:24-cv-01903 (MD Fla, complaint filed 22 October 2024).</w:t>
      </w:r>
    </w:p>
  </w:footnote>
  <w:footnote w:id="2">
    <w:p>
      <w:r>
        <w:rPr>
          <w:rStyle w:val="FootnoteReference"/>
        </w:rPr>
        <w:footnoteRef/>
      </w:r>
      <w:r>
        <w:rPr>
          <w:rFonts w:ascii="Arial" w:cs="Arial" w:eastAsia="Arial" w:hAnsi="Arial"/>
          <w:sz w:val="18"/>
          <w:szCs w:val="18"/>
        </w:rPr>
        <w:t xml:space="preserve">K Roose, 'Can A.I. Be Blamed for a Teen's Suicide?' </w:t>
      </w:r>
      <w:r>
        <w:rPr>
          <w:rFonts w:ascii="Arial" w:cs="Arial" w:eastAsia="Arial" w:hAnsi="Arial"/>
          <w:i/>
          <w:iCs/>
          <w:sz w:val="18"/>
          <w:szCs w:val="18"/>
        </w:rPr>
        <w:t xml:space="preserve">New York Times</w:t>
      </w:r>
      <w:r>
        <w:rPr>
          <w:rFonts w:ascii="Arial" w:cs="Arial" w:eastAsia="Arial" w:hAnsi="Arial"/>
          <w:sz w:val="18"/>
          <w:szCs w:val="18"/>
        </w:rPr>
        <w:t xml:space="preserve"> (New York, 23 October 2024).</w:t>
      </w:r>
    </w:p>
  </w:footnote>
  <w:footnote w:id="3">
    <w:p>
      <w:r>
        <w:rPr>
          <w:rStyle w:val="FootnoteReference"/>
        </w:rPr>
        <w:footnoteRef/>
      </w:r>
      <w:r>
        <w:rPr>
          <w:rFonts w:ascii="Arial" w:cs="Arial" w:eastAsia="Arial" w:hAnsi="Arial"/>
          <w:sz w:val="18"/>
          <w:szCs w:val="18"/>
        </w:rPr>
        <w:t xml:space="preserve">M Field, 'Google and Character.AI agree to mediated settlement of teen suicide lawsuit' </w:t>
      </w:r>
      <w:r>
        <w:rPr>
          <w:rFonts w:ascii="Arial" w:cs="Arial" w:eastAsia="Arial" w:hAnsi="Arial"/>
          <w:i/>
          <w:iCs/>
          <w:sz w:val="18"/>
          <w:szCs w:val="18"/>
        </w:rPr>
        <w:t xml:space="preserve">CBS News</w:t>
      </w:r>
      <w:r>
        <w:rPr>
          <w:rFonts w:ascii="Arial" w:cs="Arial" w:eastAsia="Arial" w:hAnsi="Arial"/>
          <w:sz w:val="18"/>
          <w:szCs w:val="18"/>
        </w:rPr>
        <w:t xml:space="preserve"> (8 January 2026).</w:t>
      </w:r>
    </w:p>
  </w:footnote>
  <w:footnote w:id="4">
    <w:p>
      <w:r>
        <w:rPr>
          <w:rStyle w:val="FootnoteReference"/>
        </w:rPr>
        <w:footnoteRef/>
      </w:r>
      <w:r>
        <w:rPr>
          <w:rFonts w:ascii="Arial" w:cs="Arial" w:eastAsia="Arial" w:hAnsi="Arial"/>
          <w:i/>
          <w:iCs/>
          <w:sz w:val="18"/>
          <w:szCs w:val="18"/>
        </w:rPr>
        <w:t xml:space="preserve">Raine v OpenAI Inc</w:t>
      </w:r>
      <w:r>
        <w:rPr>
          <w:rFonts w:ascii="Arial" w:cs="Arial" w:eastAsia="Arial" w:hAnsi="Arial"/>
          <w:sz w:val="18"/>
          <w:szCs w:val="18"/>
        </w:rPr>
        <w:t xml:space="preserve">, No CGC-25-628165 (San Francisco County Superior Court, complaint filed 26 August 2025).</w:t>
      </w:r>
    </w:p>
  </w:footnote>
  <w:footnote w:id="5">
    <w:p>
      <w:r>
        <w:rPr>
          <w:rStyle w:val="FootnoteReference"/>
        </w:rPr>
        <w:footnoteRef/>
      </w:r>
      <w:r>
        <w:rPr>
          <w:rFonts w:ascii="Arial" w:cs="Arial" w:eastAsia="Arial" w:hAnsi="Arial"/>
          <w:sz w:val="18"/>
          <w:szCs w:val="18"/>
        </w:rPr>
        <w:t xml:space="preserve">M Raine, </w:t>
      </w:r>
      <w:r>
        <w:rPr>
          <w:rFonts w:ascii="Arial" w:cs="Arial" w:eastAsia="Arial" w:hAnsi="Arial"/>
          <w:i/>
          <w:iCs/>
          <w:sz w:val="18"/>
          <w:szCs w:val="18"/>
        </w:rPr>
        <w:t xml:space="preserve">Written Testimony Before the United States Senate Committee on the Judiciary</w:t>
      </w:r>
      <w:r>
        <w:rPr>
          <w:rFonts w:ascii="Arial" w:cs="Arial" w:eastAsia="Arial" w:hAnsi="Arial"/>
          <w:sz w:val="18"/>
          <w:szCs w:val="18"/>
        </w:rPr>
        <w:t xml:space="preserve"> (16 September 2025).</w:t>
      </w:r>
    </w:p>
  </w:footnote>
  <w:footnote w:id="6">
    <w:p>
      <w:r>
        <w:rPr>
          <w:rStyle w:val="FootnoteReference"/>
        </w:rPr>
        <w:footnoteRef/>
      </w:r>
      <w:r>
        <w:rPr>
          <w:rFonts w:ascii="Arial" w:cs="Arial" w:eastAsia="Arial" w:hAnsi="Arial"/>
          <w:sz w:val="18"/>
          <w:szCs w:val="18"/>
        </w:rPr>
        <w:t xml:space="preserve">Internet Watch Foundation, </w:t>
      </w:r>
      <w:r>
        <w:rPr>
          <w:rFonts w:ascii="Arial" w:cs="Arial" w:eastAsia="Arial" w:hAnsi="Arial"/>
          <w:i/>
          <w:iCs/>
          <w:sz w:val="18"/>
          <w:szCs w:val="18"/>
        </w:rPr>
        <w:t xml:space="preserve">Harm Without Limits: AI Child Sexual Abuse Material Through the Eyes of Our Analysts</w:t>
      </w:r>
      <w:r>
        <w:rPr>
          <w:rFonts w:ascii="Arial" w:cs="Arial" w:eastAsia="Arial" w:hAnsi="Arial"/>
          <w:sz w:val="18"/>
          <w:szCs w:val="18"/>
        </w:rPr>
        <w:t xml:space="preserve"> (IWF 2026).</w:t>
      </w:r>
    </w:p>
  </w:footnote>
  <w:footnote w:id="7">
    <w:p>
      <w:r>
        <w:rPr>
          <w:rStyle w:val="FootnoteReference"/>
        </w:rPr>
        <w:footnoteRef/>
      </w:r>
      <w:r>
        <w:rPr>
          <w:rFonts w:ascii="Arial" w:cs="Arial" w:eastAsia="Arial" w:hAnsi="Arial"/>
          <w:sz w:val="18"/>
          <w:szCs w:val="18"/>
        </w:rPr>
        <w:t xml:space="preserve">Online Safety Act 2023.</w:t>
      </w:r>
    </w:p>
  </w:footnote>
  <w:footnote w:id="8">
    <w:p>
      <w:r>
        <w:rPr>
          <w:rStyle w:val="FootnoteReference"/>
        </w:rPr>
        <w:footnoteRef/>
      </w:r>
      <w:r>
        <w:rPr>
          <w:rFonts w:ascii="Arial" w:cs="Arial" w:eastAsia="Arial" w:hAnsi="Arial"/>
          <w:sz w:val="18"/>
          <w:szCs w:val="18"/>
        </w:rPr>
        <w:t xml:space="preserve">Online Safety Act 2023, ss 9-15 (duties of care of user-to-user services); s 80 (definitions, including "user-generated content").</w:t>
      </w:r>
    </w:p>
  </w:footnote>
  <w:footnote w:id="9">
    <w:p>
      <w:r>
        <w:rPr>
          <w:rStyle w:val="FootnoteReference"/>
        </w:rPr>
        <w:footnoteRef/>
      </w:r>
      <w:r>
        <w:rPr>
          <w:rFonts w:ascii="Arial" w:cs="Arial" w:eastAsia="Arial" w:hAnsi="Arial"/>
          <w:sz w:val="18"/>
          <w:szCs w:val="18"/>
        </w:rPr>
        <w:t xml:space="preserve">Ofcom, 'AI chatbots and online regulation: what you need to know' (Ofcom, 2025); see also Ofcom, </w:t>
      </w:r>
      <w:r>
        <w:rPr>
          <w:rFonts w:ascii="Arial" w:cs="Arial" w:eastAsia="Arial" w:hAnsi="Arial"/>
          <w:i/>
          <w:iCs/>
          <w:sz w:val="18"/>
          <w:szCs w:val="18"/>
        </w:rPr>
        <w:t xml:space="preserve">Strategic Approach to AI 2025/26</w:t>
      </w:r>
      <w:r>
        <w:rPr>
          <w:rFonts w:ascii="Arial" w:cs="Arial" w:eastAsia="Arial" w:hAnsi="Arial"/>
          <w:sz w:val="18"/>
          <w:szCs w:val="18"/>
        </w:rPr>
        <w:t xml:space="preserve"> (Ofcom 2025).</w:t>
      </w:r>
    </w:p>
  </w:footnote>
  <w:footnote w:id="10">
    <w:p>
      <w:r>
        <w:rPr>
          <w:rStyle w:val="FootnoteReference"/>
        </w:rPr>
        <w:footnoteRef/>
      </w:r>
      <w:r>
        <w:rPr>
          <w:rFonts w:ascii="Arial" w:cs="Arial" w:eastAsia="Arial" w:hAnsi="Arial"/>
          <w:sz w:val="18"/>
          <w:szCs w:val="18"/>
        </w:rPr>
        <w:t xml:space="preserve">UK General Data Protection Regulation, art 22.</w:t>
      </w:r>
    </w:p>
  </w:footnote>
  <w:footnote w:id="11">
    <w:p>
      <w:r>
        <w:rPr>
          <w:rStyle w:val="FootnoteReference"/>
        </w:rPr>
        <w:footnoteRef/>
      </w:r>
      <w:r>
        <w:rPr>
          <w:rFonts w:ascii="Arial" w:cs="Arial" w:eastAsia="Arial" w:hAnsi="Arial"/>
          <w:sz w:val="18"/>
          <w:szCs w:val="18"/>
        </w:rPr>
        <w:t xml:space="preserve">Data (Use and Access) Act 2025, s 80 (amending art 22 of the UK GDPR).</w:t>
      </w:r>
    </w:p>
  </w:footnote>
  <w:footnote w:id="12">
    <w:p>
      <w:r>
        <w:rPr>
          <w:rStyle w:val="FootnoteReference"/>
        </w:rPr>
        <w:footnoteRef/>
      </w:r>
      <w:r>
        <w:rPr>
          <w:rFonts w:ascii="Arial" w:cs="Arial" w:eastAsia="Arial" w:hAnsi="Arial"/>
          <w:sz w:val="18"/>
          <w:szCs w:val="18"/>
        </w:rPr>
        <w:t xml:space="preserve">Charities Act 2011, s 3(1)(b) and (h).</w:t>
      </w:r>
    </w:p>
  </w:footnote>
  <w:footnote w:id="13">
    <w:p>
      <w:r>
        <w:rPr>
          <w:rStyle w:val="FootnoteReference"/>
        </w:rPr>
        <w:footnoteRef/>
      </w:r>
      <w:r>
        <w:rPr>
          <w:rFonts w:ascii="Arial" w:cs="Arial" w:eastAsia="Arial" w:hAnsi="Arial"/>
          <w:sz w:val="18"/>
          <w:szCs w:val="18"/>
        </w:rPr>
        <w:t xml:space="preserve">Crime and Policing Act 2026 (received Royal Assent 29 April 2026).</w:t>
      </w:r>
    </w:p>
  </w:footnote>
  <w:footnote w:id="14">
    <w:p>
      <w:r>
        <w:rPr>
          <w:rStyle w:val="FootnoteReference"/>
        </w:rPr>
        <w:footnoteRef/>
      </w:r>
      <w:r>
        <w:rPr>
          <w:rFonts w:ascii="Arial" w:cs="Arial" w:eastAsia="Arial" w:hAnsi="Arial"/>
          <w:sz w:val="18"/>
          <w:szCs w:val="18"/>
        </w:rPr>
        <w:t xml:space="preserve">Children's Wellbeing and Schools Act 2026 (received Royal Assent 29 April 2026).</w:t>
      </w:r>
    </w:p>
  </w:footnote>
  <w:footnote w:id="15">
    <w:p>
      <w:r>
        <w:rPr>
          <w:rStyle w:val="FootnoteReference"/>
        </w:rPr>
        <w:footnoteRef/>
      </w:r>
      <w:r>
        <w:rPr>
          <w:rFonts w:ascii="Arial" w:cs="Arial" w:eastAsia="Arial" w:hAnsi="Arial"/>
          <w:sz w:val="18"/>
          <w:szCs w:val="18"/>
        </w:rPr>
        <w:t xml:space="preserve">Department for Education, </w:t>
      </w:r>
      <w:r>
        <w:rPr>
          <w:rFonts w:ascii="Arial" w:cs="Arial" w:eastAsia="Arial" w:hAnsi="Arial"/>
          <w:i/>
          <w:iCs/>
          <w:sz w:val="18"/>
          <w:szCs w:val="18"/>
        </w:rPr>
        <w:t xml:space="preserve">Keeping Children Safe in Education 2026</w:t>
      </w:r>
      <w:r>
        <w:rPr>
          <w:rFonts w:ascii="Arial" w:cs="Arial" w:eastAsia="Arial" w:hAnsi="Arial"/>
          <w:sz w:val="18"/>
          <w:szCs w:val="18"/>
        </w:rPr>
        <w:t xml:space="preserve"> (DfE 2026).</w:t>
      </w:r>
    </w:p>
  </w:footnote>
  <w:footnote w:id="16">
    <w:p>
      <w:r>
        <w:rPr>
          <w:rStyle w:val="FootnoteReference"/>
        </w:rPr>
        <w:footnoteRef/>
      </w:r>
      <w:r>
        <w:rPr>
          <w:rFonts w:ascii="Arial" w:cs="Arial" w:eastAsia="Arial" w:hAnsi="Arial"/>
          <w:sz w:val="18"/>
          <w:szCs w:val="18"/>
        </w:rPr>
        <w:t xml:space="preserve">Regulation (EU) 2024/1689 of the European Parliament and of the Council laying down harmonised rules on artificial intelligence (Artificial Intelligence Act) [2024] OJ L1689/1, art 50 (transparency) and art 5 (prohibited practices).</w:t>
      </w:r>
    </w:p>
  </w:footnote>
  <w:footnote w:id="17">
    <w:p>
      <w:r>
        <w:rPr>
          <w:rStyle w:val="FootnoteReference"/>
        </w:rPr>
        <w:footnoteRef/>
      </w:r>
      <w:r>
        <w:rPr>
          <w:rFonts w:ascii="Arial" w:cs="Arial" w:eastAsia="Arial" w:hAnsi="Arial"/>
          <w:sz w:val="18"/>
          <w:szCs w:val="18"/>
        </w:rPr>
        <w:t xml:space="preserve">Communications Decency Act 1996 (US), 47 USC s 230.</w:t>
      </w:r>
    </w:p>
  </w:footnote>
  <w:footnote w:id="18">
    <w:p>
      <w:r>
        <w:rPr>
          <w:rStyle w:val="FootnoteReference"/>
        </w:rPr>
        <w:footnoteRef/>
      </w:r>
      <w:r>
        <w:rPr>
          <w:rFonts w:ascii="Arial" w:cs="Arial" w:eastAsia="Arial" w:hAnsi="Arial"/>
          <w:i/>
          <w:iCs/>
          <w:sz w:val="18"/>
          <w:szCs w:val="18"/>
        </w:rPr>
        <w:t xml:space="preserve">Moody v NetChoice LLC</w:t>
      </w:r>
      <w:r>
        <w:rPr>
          <w:rFonts w:ascii="Arial" w:cs="Arial" w:eastAsia="Arial" w:hAnsi="Arial"/>
          <w:sz w:val="18"/>
          <w:szCs w:val="18"/>
        </w:rPr>
        <w:t xml:space="preserve"> 603 US 707 (2024) (US Supreme Court).</w:t>
      </w:r>
    </w:p>
  </w:footnote>
  <w:footnote w:id="19">
    <w:p>
      <w:r>
        <w:rPr>
          <w:rStyle w:val="FootnoteReference"/>
        </w:rPr>
        <w:footnoteRef/>
      </w:r>
      <w:r>
        <w:rPr>
          <w:rFonts w:ascii="Arial" w:cs="Arial" w:eastAsia="Arial" w:hAnsi="Arial"/>
          <w:sz w:val="18"/>
          <w:szCs w:val="18"/>
        </w:rPr>
        <w:t xml:space="preserve">Department for Science, Innovation and Technology, </w:t>
      </w:r>
      <w:r>
        <w:rPr>
          <w:rFonts w:ascii="Arial" w:cs="Arial" w:eastAsia="Arial" w:hAnsi="Arial"/>
          <w:i/>
          <w:iCs/>
          <w:sz w:val="18"/>
          <w:szCs w:val="18"/>
        </w:rPr>
        <w:t xml:space="preserve">Growing Up in the Online World: A National Consultation</w:t>
      </w:r>
      <w:r>
        <w:rPr>
          <w:rFonts w:ascii="Arial" w:cs="Arial" w:eastAsia="Arial" w:hAnsi="Arial"/>
          <w:sz w:val="18"/>
          <w:szCs w:val="18"/>
        </w:rPr>
        <w:t xml:space="preserve"> (consultation paper, 2 March 2026).</w:t>
      </w:r>
    </w:p>
  </w:footnote>
  <w:footnote w:id="20">
    <w:p>
      <w:r>
        <w:rPr>
          <w:rStyle w:val="FootnoteReference"/>
        </w:rPr>
        <w:footnoteRef/>
      </w:r>
      <w:r>
        <w:rPr>
          <w:rFonts w:ascii="Arial" w:cs="Arial" w:eastAsia="Arial" w:hAnsi="Arial"/>
          <w:sz w:val="18"/>
          <w:szCs w:val="18"/>
        </w:rPr>
        <w:t xml:space="preserve">FAIR's submission to the DSIT consultation is published at &lt;https://airights.org.uk/submissions.html&gt; accessed 2 May 2026.</w:t>
      </w:r>
    </w:p>
  </w:footnote>
  <w:footnote w:id="21">
    <w:p>
      <w:r>
        <w:rPr>
          <w:rStyle w:val="FootnoteReference"/>
        </w:rPr>
        <w:footnoteRef/>
      </w:r>
      <w:r>
        <w:rPr>
          <w:rFonts w:ascii="Arial" w:cs="Arial" w:eastAsia="Arial" w:hAnsi="Arial"/>
          <w:sz w:val="18"/>
          <w:szCs w:val="18"/>
        </w:rPr>
        <w:t xml:space="preserve">FAIR's purposes are published at &lt;https://airights.org.uk/purposes.html&gt; accessed 2 May 2026.</w:t>
      </w:r>
    </w:p>
  </w:footnote>
  <w:footnote w:id="22">
    <w:p>
      <w:r>
        <w:rPr>
          <w:rStyle w:val="FootnoteReference"/>
        </w:rPr>
        <w:footnoteRef/>
      </w:r>
      <w:r>
        <w:rPr>
          <w:rFonts w:ascii="Arial" w:cs="Arial" w:eastAsia="Arial" w:hAnsi="Arial"/>
          <w:sz w:val="18"/>
          <w:szCs w:val="18"/>
        </w:rPr>
        <w:t xml:space="preserve">Speaking out: guidance on campaigning and political activity by charities (CC9), Charity Commission (updated November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C757D"/>
        <w:sz w:val="18"/>
        <w:szCs w:val="18"/>
      </w:rPr>
      <w:t xml:space="preserve">FAIR Briefing No. 1 · Speakers, not just hosts · May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540" w:hanging="27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F172A"/>
      <w:sz w:val="36"/>
      <w:szCs w:val="36"/>
    </w:rPr>
  </w:style>
  <w:style w:type="paragraph" w:styleId="Heading2">
    <w:name w:val="Heading 2"/>
    <w:basedOn w:val="Normal"/>
    <w:next w:val="Normal"/>
    <w:qFormat/>
    <w:pPr>
      <w:spacing w:after="140" w:before="280"/>
      <w:outlineLvl w:val="1"/>
    </w:pPr>
    <w:rPr>
      <w:rFonts w:ascii="Arial" w:cs="Arial" w:eastAsia="Arial" w:hAnsi="Arial"/>
      <w:b/>
      <w:bCs/>
      <w:color w:val="0065BD"/>
      <w:sz w:val="28"/>
      <w:szCs w:val="28"/>
    </w:rPr>
  </w:style>
  <w:style w:type="paragraph" w:styleId="Heading3">
    <w:name w:val="Heading 3"/>
    <w:basedOn w:val="Normal"/>
    <w:next w:val="Normal"/>
    <w:qFormat/>
    <w:pPr>
      <w:spacing w:after="100" w:before="200"/>
      <w:outlineLvl w:val="2"/>
    </w:pPr>
    <w:rPr>
      <w:rFonts w:ascii="Arial" w:cs="Arial" w:eastAsia="Arial" w:hAnsi="Arial"/>
      <w:b/>
      <w:bCs/>
      <w:color w:val="0F172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Briefing No. 1 — Speakers, not just hosts</dc:title>
  <dc:creator>FAIR</dc:creator>
  <cp:lastModifiedBy>Un-named</cp:lastModifiedBy>
  <cp:revision>1</cp:revision>
  <dcterms:created xsi:type="dcterms:W3CDTF">2026-05-02T15:10:48.899Z</dcterms:created>
  <dcterms:modified xsi:type="dcterms:W3CDTF">2026-05-02T15:10:48.903Z</dcterms:modified>
</cp:coreProperties>
</file>

<file path=docProps/custom.xml><?xml version="1.0" encoding="utf-8"?>
<Properties xmlns="http://schemas.openxmlformats.org/officeDocument/2006/custom-properties" xmlns:vt="http://schemas.openxmlformats.org/officeDocument/2006/docPropsVTypes"/>
</file>